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olor w:val="B3542E"/>
          <w:sz w:val="18"/>
        </w:rPr>
        <w:t>CHARTE D'USAGE DE L'INTELLIGENCE ARTIFICIELLE</w:t>
      </w:r>
    </w:p>
    <w:p>
      <w:pPr>
        <w:spacing w:after="40"/>
      </w:pPr>
      <w:r>
        <w:rPr>
          <w:rFonts w:ascii="Arial" w:hAnsi="Arial"/>
          <w:b/>
          <w:color w:val="2B2622"/>
          <w:sz w:val="44"/>
        </w:rPr>
        <w:t>[Nom de l'entreprise]</w:t>
      </w:r>
    </w:p>
    <w:p>
      <w:pPr>
        <w:spacing w:after="60"/>
      </w:pPr>
      <w:r>
        <w:rPr>
          <w:rFonts w:ascii="Arial" w:hAnsi="Arial"/>
          <w:b w:val="0"/>
          <w:color w:val="5C544C"/>
          <w:sz w:val="21"/>
        </w:rPr>
        <w:t>Version [1.0] — [date] · Applicable à l'ensemble des collaborateurs.</w:t>
      </w:r>
    </w:p>
    <w:p>
      <w:pPr>
        <w:spacing w:before="200" w:after="60"/>
      </w:pPr>
      <w:r>
        <w:rPr>
          <w:rFonts w:ascii="Arial" w:hAnsi="Arial"/>
          <w:b/>
          <w:color w:val="2B2622"/>
          <w:sz w:val="25"/>
        </w:rPr>
        <w:t>Pourquoi cette charte</w:t>
      </w:r>
    </w:p>
    <w:p>
      <w:pPr>
        <w:spacing w:after="60"/>
      </w:pPr>
      <w:r>
        <w:rPr>
          <w:rFonts w:ascii="Arial" w:hAnsi="Arial"/>
          <w:b w:val="0"/>
          <w:color w:val="2B2622"/>
          <w:sz w:val="21"/>
        </w:rPr>
        <w:t>Nous utilisons des outils d'intelligence artificielle pour gagner du temps et de la qualité. Cette charte fixe un cadre simple pour le faire de façon utile et responsable. L'IA nous assiste : elle ne décide pas à notre place.</w:t>
      </w:r>
    </w:p>
    <w:p>
      <w:pPr>
        <w:spacing w:before="200" w:after="60"/>
      </w:pPr>
      <w:r>
        <w:rPr>
          <w:rFonts w:ascii="Arial" w:hAnsi="Arial"/>
          <w:b/>
          <w:color w:val="2B2622"/>
          <w:sz w:val="25"/>
        </w:rPr>
        <w:t>Ce qui est autorisé</w:t>
      </w:r>
    </w:p>
    <w:p>
      <w:pPr>
        <w:pStyle w:val="ListBullet"/>
        <w:spacing w:after="60"/>
      </w:pPr>
      <w:r>
        <w:rPr>
          <w:rFonts w:ascii="Arial" w:hAnsi="Arial"/>
          <w:b w:val="0"/>
          <w:color w:val="2B2622"/>
          <w:sz w:val="21"/>
        </w:rPr>
        <w:t>Rédiger, résumer, reformuler, traduire, préparer des analyses et des documents de travail.</w:t>
      </w:r>
    </w:p>
    <w:p>
      <w:pPr>
        <w:pStyle w:val="ListBullet"/>
        <w:spacing w:after="60"/>
      </w:pPr>
      <w:r>
        <w:rPr>
          <w:rFonts w:ascii="Arial" w:hAnsi="Arial"/>
          <w:b w:val="0"/>
          <w:color w:val="2B2622"/>
          <w:sz w:val="21"/>
        </w:rPr>
        <w:t>Travailler sur des documents [internes / clients] après avoir vérifié qu'ils ne contiennent pas de données interdites (voir ci-dessous).</w:t>
      </w:r>
    </w:p>
    <w:p>
      <w:pPr>
        <w:pStyle w:val="ListBullet"/>
        <w:spacing w:after="60"/>
      </w:pPr>
      <w:r>
        <w:rPr>
          <w:rFonts w:ascii="Arial" w:hAnsi="Arial"/>
          <w:b w:val="0"/>
          <w:color w:val="2B2622"/>
          <w:sz w:val="21"/>
        </w:rPr>
        <w:t>[Complétez avec vos usages autorisés].</w:t>
      </w:r>
    </w:p>
    <w:p>
      <w:pPr>
        <w:spacing w:before="200" w:after="60"/>
      </w:pPr>
      <w:r>
        <w:rPr>
          <w:rFonts w:ascii="Arial" w:hAnsi="Arial"/>
          <w:b/>
          <w:color w:val="2B2622"/>
          <w:sz w:val="25"/>
        </w:rPr>
        <w:t>Ce qui est interdit</w:t>
      </w:r>
    </w:p>
    <w:p>
      <w:pPr>
        <w:pStyle w:val="ListBullet"/>
        <w:spacing w:after="60"/>
      </w:pPr>
      <w:r>
        <w:rPr>
          <w:rFonts w:ascii="Arial" w:hAnsi="Arial"/>
          <w:b w:val="0"/>
          <w:color w:val="2B2622"/>
          <w:sz w:val="21"/>
        </w:rPr>
        <w:t>Transmettre des données personnelles sensibles, des données de santé, des données bancaires ou des informations couvertes par le secret professionnel.</w:t>
      </w:r>
    </w:p>
    <w:p>
      <w:pPr>
        <w:pStyle w:val="ListBullet"/>
        <w:spacing w:after="60"/>
      </w:pPr>
      <w:r>
        <w:rPr>
          <w:rFonts w:ascii="Arial" w:hAnsi="Arial"/>
          <w:b w:val="0"/>
          <w:color w:val="2B2622"/>
          <w:sz w:val="21"/>
        </w:rPr>
        <w:t>Communiquer des identifiants, mots de passe ou informations confidentielles de l'entreprise ou de nos clients.</w:t>
      </w:r>
    </w:p>
    <w:p>
      <w:pPr>
        <w:pStyle w:val="ListBullet"/>
        <w:spacing w:after="60"/>
      </w:pPr>
      <w:r>
        <w:rPr>
          <w:rFonts w:ascii="Arial" w:hAnsi="Arial"/>
          <w:b w:val="0"/>
          <w:color w:val="2B2622"/>
          <w:sz w:val="21"/>
        </w:rPr>
        <w:t>[Complétez avec le résultat de votre cartographie des données — exercice 10.1].</w:t>
      </w:r>
    </w:p>
    <w:p>
      <w:pPr>
        <w:spacing w:before="200" w:after="60"/>
      </w:pPr>
      <w:r>
        <w:rPr>
          <w:rFonts w:ascii="Arial" w:hAnsi="Arial"/>
          <w:b/>
          <w:color w:val="2B2622"/>
          <w:sz w:val="25"/>
        </w:rPr>
        <w:t>La règle d'or : vérifier avant d'utiliser</w:t>
      </w:r>
    </w:p>
    <w:p>
      <w:pPr>
        <w:spacing w:after="60"/>
      </w:pPr>
      <w:r>
        <w:rPr>
          <w:rFonts w:ascii="Arial" w:hAnsi="Arial"/>
          <w:b w:val="0"/>
          <w:color w:val="2B2622"/>
          <w:sz w:val="21"/>
        </w:rPr>
        <w:t>Une réponse d'IA peut être fausse tout en paraissant sûre. Toute information destinée à un client, un document officiel ou une décision doit être vérifiée par un humain avant usage. Les chiffres, références légales et citations se recontrôlent systématiquement.</w:t>
      </w:r>
    </w:p>
    <w:p>
      <w:pPr>
        <w:spacing w:before="200" w:after="60"/>
      </w:pPr>
      <w:r>
        <w:rPr>
          <w:rFonts w:ascii="Arial" w:hAnsi="Arial"/>
          <w:b/>
          <w:color w:val="2B2622"/>
          <w:sz w:val="25"/>
        </w:rPr>
        <w:t>En cas de doute</w:t>
      </w:r>
    </w:p>
    <w:p>
      <w:pPr>
        <w:spacing w:after="60"/>
      </w:pPr>
      <w:r>
        <w:rPr>
          <w:rFonts w:ascii="Arial" w:hAnsi="Arial"/>
          <w:b w:val="0"/>
          <w:color w:val="2B2622"/>
          <w:sz w:val="21"/>
        </w:rPr>
        <w:t>Une question sur ce qui est permis ? Contactez [nom / fonction du référent IA] avant d'agir. Il vaut mieux demander que transmettre une donnée à tort.</w:t>
      </w:r>
    </w:p>
    <w:p>
      <w:pPr>
        <w:spacing w:before="200" w:after="60"/>
      </w:pPr>
      <w:r>
        <w:rPr>
          <w:rFonts w:ascii="Arial" w:hAnsi="Arial"/>
          <w:b/>
          <w:color w:val="2B2622"/>
          <w:sz w:val="25"/>
        </w:rPr>
        <w:t>Confidentialité de nos données</w:t>
      </w:r>
    </w:p>
    <w:p>
      <w:pPr>
        <w:spacing w:after="60"/>
      </w:pPr>
      <w:r>
        <w:rPr>
          <w:rFonts w:ascii="Arial" w:hAnsi="Arial"/>
          <w:b w:val="0"/>
          <w:color w:val="5C544C"/>
          <w:sz w:val="21"/>
        </w:rPr>
        <w:t>Notre configuration : [offre utilisée] · entraînement sur nos conversations [activé / désactivé] · [préciser la conservation]. À ce jour, le stockage des données n'est pas garanti dans l'Union européenne. Pour les usages sensibles, privilégier [offre professionnelle / mesures dédiées].</w:t>
      </w:r>
    </w:p>
    <w:p>
      <w:pPr>
        <w:spacing w:before="280"/>
      </w:pPr>
      <w:r>
        <w:rPr>
          <w:rFonts w:ascii="Arial" w:hAnsi="Arial"/>
          <w:b w:val="0"/>
          <w:color w:val="2B2622"/>
          <w:sz w:val="21"/>
        </w:rPr>
        <w:t>Signature de la direction : ____________________     Date : __________</w:t>
      </w:r>
    </w:p>
    <w:sectPr w:rsidR="00FC693F" w:rsidRPr="0006063C" w:rsidSect="00034616">
      <w:footerReference w:type="default" r:id="rId9"/>
      <w:pgSz w:w="12240" w:h="15840"/>
      <w:pgMar w:top="1020"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C544C"/>
        <w:sz w:val="15"/>
      </w:rPr>
      <w:t>Modèle — Académie Claude par Taaq · à valider par votre direction (et, si besoin, votre conseil juridique). L'IA simple, utile, rentable.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